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BEBA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黑体"/>
          <w:bCs/>
          <w:szCs w:val="44"/>
        </w:rPr>
      </w:pPr>
      <w:r>
        <w:rPr>
          <w:rFonts w:hint="default" w:ascii="Times New Roman" w:hAnsi="Times New Roman" w:eastAsia="黑体"/>
          <w:bCs/>
          <w:szCs w:val="44"/>
        </w:rPr>
        <w:t>附件3</w:t>
      </w:r>
    </w:p>
    <w:p w14:paraId="69B6E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/>
          <w:sz w:val="36"/>
          <w:szCs w:val="44"/>
        </w:rPr>
      </w:pPr>
      <w:r>
        <w:rPr>
          <w:rFonts w:hint="eastAsia" w:eastAsia="方正小标宋_GBK" w:cs="Times New Roman"/>
          <w:b w:val="0"/>
          <w:bCs/>
          <w:sz w:val="36"/>
          <w:szCs w:val="44"/>
          <w:lang w:eastAsia="zh-CN"/>
        </w:rPr>
        <w:t>凤台县</w:t>
      </w:r>
      <w:r>
        <w:rPr>
          <w:rFonts w:hint="eastAsia" w:eastAsia="方正小标宋_GBK" w:cs="Times New Roman"/>
          <w:b w:val="0"/>
          <w:bCs/>
          <w:sz w:val="36"/>
          <w:szCs w:val="44"/>
          <w:lang w:val="en-US" w:eastAsia="zh-CN"/>
        </w:rPr>
        <w:t>2024年</w:t>
      </w:r>
      <w:r>
        <w:rPr>
          <w:rFonts w:hint="eastAsia" w:eastAsia="方正小标宋_GBK" w:cs="Times New Roman"/>
          <w:b w:val="0"/>
          <w:bCs/>
          <w:sz w:val="36"/>
          <w:szCs w:val="44"/>
          <w:lang w:eastAsia="zh-CN"/>
        </w:rPr>
        <w:t>中央农业防灾减灾财政第十批</w:t>
      </w:r>
      <w:r>
        <w:rPr>
          <w:rFonts w:hint="default" w:ascii="Times New Roman" w:hAnsi="Times New Roman" w:eastAsia="方正小标宋_GBK" w:cs="Times New Roman"/>
          <w:b w:val="0"/>
          <w:bCs/>
          <w:sz w:val="36"/>
          <w:szCs w:val="44"/>
        </w:rPr>
        <w:t>转移支付202</w:t>
      </w:r>
      <w:r>
        <w:rPr>
          <w:rFonts w:hint="eastAsia" w:eastAsia="方正小标宋_GBK" w:cs="Times New Roman"/>
          <w:b w:val="0"/>
          <w:bCs/>
          <w:sz w:val="36"/>
          <w:szCs w:val="44"/>
          <w:lang w:val="en-US" w:eastAsia="zh-CN"/>
        </w:rPr>
        <w:t>4</w:t>
      </w:r>
      <w:r>
        <w:rPr>
          <w:rFonts w:hint="default" w:ascii="Times New Roman" w:hAnsi="Times New Roman" w:eastAsia="方正小标宋_GBK" w:cs="Times New Roman"/>
          <w:b w:val="0"/>
          <w:bCs/>
          <w:sz w:val="36"/>
          <w:szCs w:val="44"/>
        </w:rPr>
        <w:t>年度绩效自评报告</w:t>
      </w:r>
    </w:p>
    <w:p w14:paraId="5B0A34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ascii="Times New Roman" w:hAnsi="Times New Roman" w:eastAsia="黑体" w:cs="Times New Roman"/>
          <w:bCs/>
          <w:szCs w:val="32"/>
        </w:rPr>
      </w:pPr>
      <w:r>
        <w:rPr>
          <w:rFonts w:hint="default" w:ascii="Times New Roman" w:hAnsi="Times New Roman" w:eastAsia="黑体" w:cs="Times New Roman"/>
          <w:bCs/>
          <w:szCs w:val="32"/>
        </w:rPr>
        <w:t>一、绩效目标分解下达情况</w:t>
      </w:r>
    </w:p>
    <w:p w14:paraId="217205F6">
      <w:pPr>
        <w:keepNext w:val="0"/>
        <w:keepLines w:val="0"/>
        <w:widowControl/>
        <w:suppressLineNumbers w:val="0"/>
        <w:spacing w:line="240" w:lineRule="auto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（一）项目概况：</w:t>
      </w:r>
      <w:r>
        <w:rPr>
          <w:rFonts w:ascii="仿宋_GB2312" w:eastAsia="仿宋_GB2312"/>
          <w:sz w:val="32"/>
          <w:szCs w:val="32"/>
        </w:rPr>
        <w:t>中央财政</w:t>
      </w:r>
      <w:r>
        <w:rPr>
          <w:rFonts w:hint="eastAsia" w:ascii="仿宋_GB2312" w:eastAsia="仿宋_GB2312"/>
          <w:sz w:val="32"/>
          <w:szCs w:val="32"/>
        </w:rPr>
        <w:t>下达我县</w:t>
      </w:r>
      <w:r>
        <w:rPr>
          <w:rFonts w:eastAsia="仿宋_GB2312"/>
          <w:sz w:val="32"/>
          <w:szCs w:val="32"/>
        </w:rPr>
        <w:t>2024</w:t>
      </w:r>
      <w:r>
        <w:rPr>
          <w:rFonts w:ascii="仿宋_GB2312" w:eastAsia="仿宋_GB2312"/>
          <w:sz w:val="32"/>
          <w:szCs w:val="32"/>
        </w:rPr>
        <w:t>年农业防灾救灾第十批</w:t>
      </w:r>
      <w:r>
        <w:rPr>
          <w:rFonts w:hint="eastAsia" w:ascii="仿宋_GB2312"/>
          <w:sz w:val="32"/>
          <w:szCs w:val="32"/>
          <w:lang w:eastAsia="zh-CN"/>
        </w:rPr>
        <w:t>资金</w:t>
      </w:r>
      <w:r>
        <w:rPr>
          <w:rFonts w:hint="eastAsia" w:eastAsia="仿宋_GB2312"/>
          <w:sz w:val="32"/>
          <w:szCs w:val="32"/>
        </w:rPr>
        <w:t>114</w:t>
      </w:r>
      <w:r>
        <w:rPr>
          <w:rFonts w:ascii="仿宋_GB2312" w:eastAsia="仿宋_GB2312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65C1B646">
      <w:pPr>
        <w:keepNext w:val="0"/>
        <w:keepLines w:val="0"/>
        <w:widowControl/>
        <w:suppressLineNumbers w:val="0"/>
        <w:spacing w:line="240" w:lineRule="auto"/>
        <w:ind w:left="0" w:firstLine="640" w:firstLineChars="200"/>
        <w:jc w:val="left"/>
        <w:rPr>
          <w:rFonts w:ascii="Times New Roman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（二）项目绩效目标：</w:t>
      </w:r>
      <w:r>
        <w:rPr>
          <w:rFonts w:ascii="仿宋_GB2312" w:eastAsia="仿宋_GB2312"/>
          <w:sz w:val="32"/>
          <w:szCs w:val="32"/>
        </w:rPr>
        <w:t>资金用于开展大豆、玉米、水稻</w:t>
      </w:r>
      <w:r>
        <w:rPr>
          <w:rFonts w:eastAsia="仿宋_GB2312"/>
          <w:sz w:val="32"/>
          <w:szCs w:val="32"/>
        </w:rPr>
        <w:t>“</w:t>
      </w:r>
      <w:r>
        <w:rPr>
          <w:rFonts w:ascii="仿宋_GB2312" w:eastAsia="仿宋_GB2312"/>
          <w:sz w:val="32"/>
          <w:szCs w:val="32"/>
        </w:rPr>
        <w:t>一喷多促</w:t>
      </w:r>
      <w:r>
        <w:rPr>
          <w:rFonts w:eastAsia="仿宋_GB2312"/>
          <w:sz w:val="32"/>
          <w:szCs w:val="32"/>
        </w:rPr>
        <w:t>”</w:t>
      </w:r>
      <w:r>
        <w:rPr>
          <w:rFonts w:hint="eastAsia" w:eastAsia="仿宋_GB2312"/>
          <w:sz w:val="32"/>
          <w:szCs w:val="32"/>
        </w:rPr>
        <w:t>以及农业救灾工作</w:t>
      </w:r>
      <w:r>
        <w:rPr>
          <w:rFonts w:ascii="仿宋_GB2312" w:eastAsia="仿宋_GB2312"/>
          <w:sz w:val="32"/>
          <w:szCs w:val="32"/>
        </w:rPr>
        <w:t>，包括购买</w:t>
      </w:r>
      <w:r>
        <w:rPr>
          <w:rFonts w:hint="eastAsia" w:ascii="仿宋_GB2312" w:eastAsia="仿宋_GB2312"/>
          <w:sz w:val="32"/>
          <w:szCs w:val="32"/>
        </w:rPr>
        <w:t>种子、</w:t>
      </w:r>
      <w:r>
        <w:rPr>
          <w:rFonts w:ascii="仿宋_GB2312" w:eastAsia="仿宋_GB2312"/>
          <w:sz w:val="32"/>
          <w:szCs w:val="32"/>
        </w:rPr>
        <w:t>叶面肥、杀虫杀菌剂、生长调节剂、抗逆剂、助剂等，进行</w:t>
      </w:r>
      <w:r>
        <w:rPr>
          <w:rFonts w:eastAsia="仿宋_GB2312"/>
          <w:sz w:val="32"/>
          <w:szCs w:val="32"/>
        </w:rPr>
        <w:t>“</w:t>
      </w:r>
      <w:r>
        <w:rPr>
          <w:rFonts w:ascii="仿宋_GB2312" w:eastAsia="仿宋_GB2312"/>
          <w:sz w:val="32"/>
          <w:szCs w:val="32"/>
        </w:rPr>
        <w:t>一喷多促</w:t>
      </w:r>
      <w:r>
        <w:rPr>
          <w:rFonts w:eastAsia="仿宋_GB2312"/>
          <w:sz w:val="32"/>
          <w:szCs w:val="32"/>
        </w:rPr>
        <w:t>”</w:t>
      </w:r>
      <w:r>
        <w:rPr>
          <w:rFonts w:ascii="仿宋_GB2312" w:eastAsia="仿宋_GB2312"/>
          <w:sz w:val="32"/>
          <w:szCs w:val="32"/>
        </w:rPr>
        <w:t>统防统治服务补贴等。</w:t>
      </w:r>
    </w:p>
    <w:p w14:paraId="43A0EA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ascii="Times New Roman" w:hAnsi="Times New Roman" w:eastAsia="黑体" w:cs="Times New Roman"/>
          <w:bCs/>
          <w:szCs w:val="32"/>
        </w:rPr>
      </w:pPr>
      <w:r>
        <w:rPr>
          <w:rFonts w:hint="default" w:ascii="Times New Roman" w:hAnsi="Times New Roman" w:eastAsia="黑体" w:cs="Times New Roman"/>
          <w:bCs/>
          <w:szCs w:val="32"/>
        </w:rPr>
        <w:t>二、绩效情况分析</w:t>
      </w:r>
    </w:p>
    <w:p w14:paraId="76ED54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default" w:ascii="Times New Roman" w:hAnsi="Times New Roman" w:eastAsia="楷体_GB2312" w:cs="Times New Roman"/>
          <w:b w:val="0"/>
          <w:bCs w:val="0"/>
          <w:szCs w:val="32"/>
        </w:rPr>
      </w:pPr>
      <w:r>
        <w:rPr>
          <w:rFonts w:hint="default" w:ascii="Times New Roman" w:hAnsi="Times New Roman" w:eastAsia="楷体_GB2312" w:cs="Times New Roman"/>
          <w:b w:val="0"/>
          <w:bCs w:val="0"/>
          <w:szCs w:val="32"/>
        </w:rPr>
        <w:t>（一）资金投入情况分析。</w:t>
      </w:r>
    </w:p>
    <w:p w14:paraId="6CA972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/>
          <w:bCs/>
          <w:szCs w:val="32"/>
        </w:rPr>
      </w:pPr>
      <w:r>
        <w:rPr>
          <w:rFonts w:ascii="仿宋_GB2312" w:eastAsia="仿宋_GB2312"/>
          <w:sz w:val="32"/>
          <w:szCs w:val="32"/>
        </w:rPr>
        <w:t>中央财政</w:t>
      </w:r>
      <w:r>
        <w:rPr>
          <w:rFonts w:hint="eastAsia" w:ascii="仿宋_GB2312" w:eastAsia="仿宋_GB2312"/>
          <w:sz w:val="32"/>
          <w:szCs w:val="32"/>
        </w:rPr>
        <w:t>下达我县</w:t>
      </w:r>
      <w:r>
        <w:rPr>
          <w:rFonts w:eastAsia="仿宋_GB2312"/>
          <w:sz w:val="32"/>
          <w:szCs w:val="32"/>
        </w:rPr>
        <w:t>2024</w:t>
      </w:r>
      <w:r>
        <w:rPr>
          <w:rFonts w:ascii="仿宋_GB2312" w:eastAsia="仿宋_GB2312"/>
          <w:sz w:val="32"/>
          <w:szCs w:val="32"/>
        </w:rPr>
        <w:t>年农业防灾救灾第十批</w:t>
      </w:r>
      <w:r>
        <w:rPr>
          <w:rFonts w:hint="eastAsia" w:ascii="仿宋_GB2312"/>
          <w:sz w:val="32"/>
          <w:szCs w:val="32"/>
          <w:lang w:eastAsia="zh-CN"/>
        </w:rPr>
        <w:t>资金</w:t>
      </w:r>
      <w:r>
        <w:rPr>
          <w:rFonts w:hint="eastAsia" w:eastAsia="仿宋_GB2312"/>
          <w:sz w:val="32"/>
          <w:szCs w:val="32"/>
        </w:rPr>
        <w:t>114</w:t>
      </w:r>
      <w:r>
        <w:rPr>
          <w:rFonts w:ascii="仿宋_GB2312" w:eastAsia="仿宋_GB2312"/>
          <w:sz w:val="32"/>
          <w:szCs w:val="32"/>
        </w:rPr>
        <w:t>万元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。截至目前已经支出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114万，支出率100%。</w:t>
      </w:r>
    </w:p>
    <w:p w14:paraId="66EB1DC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default" w:ascii="Times New Roman" w:hAnsi="Times New Roman" w:eastAsia="楷体_GB2312" w:cs="Times New Roman"/>
          <w:b w:val="0"/>
          <w:bCs w:val="0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szCs w:val="32"/>
          <w:lang w:eastAsia="zh-CN"/>
        </w:rPr>
        <w:t>资金管理情况分析。</w:t>
      </w:r>
    </w:p>
    <w:p w14:paraId="5C9C4B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Cs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我单位严格按照资金使用管理办法使用。项目资金实行专款专用。</w:t>
      </w:r>
    </w:p>
    <w:p w14:paraId="598B955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0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szCs w:val="32"/>
        </w:rPr>
      </w:pPr>
      <w:r>
        <w:rPr>
          <w:rFonts w:hint="eastAsia" w:ascii="仿宋" w:hAnsi="仿宋" w:eastAsia="仿宋" w:cs="仿宋"/>
          <w:b w:val="0"/>
          <w:bCs w:val="0"/>
          <w:szCs w:val="32"/>
        </w:rPr>
        <w:t>总体绩效目标完成情况分析。</w:t>
      </w:r>
    </w:p>
    <w:p w14:paraId="7138C9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outlineLvl w:val="0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“</w:t>
      </w:r>
      <w:r>
        <w:rPr>
          <w:rFonts w:ascii="仿宋_GB2312" w:eastAsia="仿宋_GB2312"/>
          <w:sz w:val="32"/>
          <w:szCs w:val="32"/>
        </w:rPr>
        <w:t>一喷多促</w:t>
      </w:r>
      <w:r>
        <w:rPr>
          <w:rFonts w:eastAsia="仿宋_GB2312"/>
          <w:sz w:val="32"/>
          <w:szCs w:val="32"/>
        </w:rPr>
        <w:t>”</w:t>
      </w:r>
      <w:r>
        <w:rPr>
          <w:rFonts w:ascii="仿宋_GB2312" w:eastAsia="仿宋_GB2312"/>
          <w:sz w:val="32"/>
          <w:szCs w:val="32"/>
        </w:rPr>
        <w:t>是秋粮作物中后期防灾减灾田管关键技术措施，</w:t>
      </w:r>
      <w:r>
        <w:rPr>
          <w:rFonts w:hint="eastAsia" w:ascii="仿宋" w:hAnsi="仿宋" w:eastAsia="仿宋" w:cs="仿宋"/>
          <w:bCs/>
          <w:szCs w:val="32"/>
          <w:lang w:eastAsia="zh-CN"/>
        </w:rPr>
        <w:t>“一喷多促”实施作业面积不小于</w:t>
      </w:r>
      <w:r>
        <w:rPr>
          <w:rFonts w:hint="eastAsia" w:ascii="仿宋" w:hAnsi="仿宋" w:eastAsia="仿宋" w:cs="仿宋"/>
          <w:bCs/>
          <w:szCs w:val="32"/>
          <w:lang w:val="en-US" w:eastAsia="zh-CN"/>
        </w:rPr>
        <w:t>21.54万亩，救灾面积不小于0.95万亩，</w:t>
      </w:r>
      <w:r>
        <w:rPr>
          <w:rFonts w:ascii="仿宋_GB2312" w:eastAsia="仿宋_GB2312"/>
          <w:sz w:val="32"/>
          <w:szCs w:val="32"/>
        </w:rPr>
        <w:t>通过一次喷施叶面肥、杀虫杀菌剂、生长调节剂、抗逆剂等，促</w:t>
      </w:r>
      <w:r>
        <w:rPr>
          <w:rFonts w:hint="eastAsia" w:ascii="仿宋_GB2312"/>
          <w:sz w:val="32"/>
          <w:szCs w:val="32"/>
          <w:lang w:eastAsia="zh-CN"/>
        </w:rPr>
        <w:t>进了</w:t>
      </w:r>
      <w:r>
        <w:rPr>
          <w:rFonts w:ascii="仿宋_GB2312" w:eastAsia="仿宋_GB2312"/>
          <w:sz w:val="32"/>
          <w:szCs w:val="32"/>
        </w:rPr>
        <w:t>壮苗稳长、促</w:t>
      </w:r>
      <w:r>
        <w:rPr>
          <w:rFonts w:hint="eastAsia" w:ascii="仿宋_GB2312"/>
          <w:sz w:val="32"/>
          <w:szCs w:val="32"/>
          <w:lang w:eastAsia="zh-CN"/>
        </w:rPr>
        <w:t>进了</w:t>
      </w:r>
      <w:r>
        <w:rPr>
          <w:rFonts w:ascii="仿宋_GB2312" w:eastAsia="仿宋_GB2312"/>
          <w:sz w:val="32"/>
          <w:szCs w:val="32"/>
        </w:rPr>
        <w:t>灾后恢复、促</w:t>
      </w:r>
      <w:r>
        <w:rPr>
          <w:rFonts w:hint="eastAsia" w:ascii="仿宋_GB2312"/>
          <w:sz w:val="32"/>
          <w:szCs w:val="32"/>
          <w:lang w:eastAsia="zh-CN"/>
        </w:rPr>
        <w:t>进了</w:t>
      </w:r>
      <w:r>
        <w:rPr>
          <w:rFonts w:ascii="仿宋_GB2312" w:eastAsia="仿宋_GB2312"/>
          <w:sz w:val="32"/>
          <w:szCs w:val="32"/>
        </w:rPr>
        <w:t>灌浆成熟、促</w:t>
      </w:r>
      <w:r>
        <w:rPr>
          <w:rFonts w:hint="eastAsia" w:ascii="仿宋_GB2312"/>
          <w:sz w:val="32"/>
          <w:szCs w:val="32"/>
          <w:lang w:eastAsia="zh-CN"/>
        </w:rPr>
        <w:t>进了</w:t>
      </w:r>
      <w:r>
        <w:rPr>
          <w:rFonts w:ascii="仿宋_GB2312" w:eastAsia="仿宋_GB2312"/>
          <w:sz w:val="32"/>
          <w:szCs w:val="32"/>
        </w:rPr>
        <w:t>单产提升。</w:t>
      </w:r>
    </w:p>
    <w:p w14:paraId="274E01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0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szCs w:val="32"/>
        </w:rPr>
      </w:pPr>
      <w:r>
        <w:rPr>
          <w:rFonts w:hint="eastAsia" w:ascii="仿宋" w:hAnsi="仿宋" w:eastAsia="仿宋" w:cs="仿宋"/>
          <w:b w:val="0"/>
          <w:bCs w:val="0"/>
          <w:szCs w:val="32"/>
          <w:lang w:eastAsia="zh-CN"/>
        </w:rPr>
        <w:t>（四）</w:t>
      </w:r>
      <w:r>
        <w:rPr>
          <w:rFonts w:hint="eastAsia" w:ascii="仿宋" w:hAnsi="仿宋" w:eastAsia="仿宋" w:cs="仿宋"/>
          <w:b w:val="0"/>
          <w:bCs w:val="0"/>
          <w:szCs w:val="32"/>
        </w:rPr>
        <w:t>绩效指标完成情况分析。</w:t>
      </w:r>
    </w:p>
    <w:p w14:paraId="754412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outlineLvl w:val="0"/>
        <w:rPr>
          <w:rFonts w:hint="eastAsia" w:eastAsia="楷体_GB2312" w:cs="Times New Roman"/>
          <w:b w:val="0"/>
          <w:bCs w:val="0"/>
          <w:szCs w:val="32"/>
          <w:lang w:eastAsia="zh-CN"/>
        </w:rPr>
      </w:pPr>
      <w:bookmarkStart w:id="0" w:name="_GoBack"/>
      <w:bookmarkEnd w:id="0"/>
      <w:r>
        <w:rPr>
          <w:rFonts w:hint="eastAsia" w:eastAsia="楷体_GB2312" w:cs="Times New Roman"/>
          <w:b w:val="0"/>
          <w:bCs w:val="0"/>
          <w:szCs w:val="32"/>
          <w:lang w:val="en-US" w:eastAsia="zh-CN"/>
        </w:rPr>
        <w:t>1.</w:t>
      </w:r>
      <w:r>
        <w:rPr>
          <w:rFonts w:hint="eastAsia" w:eastAsia="楷体_GB2312" w:cs="Times New Roman"/>
          <w:b w:val="0"/>
          <w:bCs w:val="0"/>
          <w:szCs w:val="32"/>
          <w:lang w:eastAsia="zh-CN"/>
        </w:rPr>
        <w:t>产出指标：</w:t>
      </w:r>
    </w:p>
    <w:p w14:paraId="1C0289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default" w:ascii="仿宋" w:hAnsi="仿宋" w:eastAsia="仿宋" w:cs="仿宋"/>
          <w:bCs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Cs w:val="32"/>
          <w:lang w:eastAsia="zh-CN"/>
        </w:rPr>
        <w:t>数量指标：“一喷多促”实施作业面积不小于</w:t>
      </w:r>
      <w:r>
        <w:rPr>
          <w:rFonts w:hint="eastAsia" w:ascii="仿宋" w:hAnsi="仿宋" w:eastAsia="仿宋" w:cs="仿宋"/>
          <w:bCs/>
          <w:szCs w:val="32"/>
          <w:lang w:val="en-US" w:eastAsia="zh-CN"/>
        </w:rPr>
        <w:t>21.54万亩，完成22.41万亩；救灾面积不小于0.95万亩，完成1.35万亩。</w:t>
      </w:r>
    </w:p>
    <w:p w14:paraId="4ABBCE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eastAsia" w:ascii="仿宋" w:hAnsi="仿宋" w:eastAsia="仿宋" w:cs="仿宋"/>
          <w:bCs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Cs w:val="32"/>
          <w:lang w:eastAsia="zh-CN"/>
        </w:rPr>
        <w:t>质量指标：用于农业生产救灾相关支出的比例</w:t>
      </w:r>
      <w:r>
        <w:rPr>
          <w:rFonts w:hint="eastAsia" w:ascii="仿宋" w:hAnsi="仿宋" w:eastAsia="仿宋" w:cs="仿宋"/>
          <w:bCs/>
          <w:szCs w:val="32"/>
          <w:lang w:val="en-US" w:eastAsia="zh-CN"/>
        </w:rPr>
        <w:t>100%，完成100%</w:t>
      </w:r>
    </w:p>
    <w:p w14:paraId="16DC34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eastAsia" w:ascii="仿宋" w:hAnsi="仿宋" w:eastAsia="仿宋" w:cs="仿宋"/>
          <w:bCs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Cs w:val="32"/>
          <w:lang w:val="en-US" w:eastAsia="zh-CN"/>
        </w:rPr>
        <w:t>时效指标：</w:t>
      </w:r>
      <w:r>
        <w:rPr>
          <w:rFonts w:hint="eastAsia" w:ascii="仿宋" w:hAnsi="仿宋" w:eastAsia="仿宋" w:cs="仿宋"/>
          <w:bCs/>
          <w:szCs w:val="32"/>
          <w:lang w:eastAsia="zh-CN"/>
        </w:rPr>
        <w:t>资金下达省级</w:t>
      </w:r>
      <w:r>
        <w:rPr>
          <w:rFonts w:hint="eastAsia" w:ascii="仿宋" w:hAnsi="仿宋" w:eastAsia="仿宋" w:cs="仿宋"/>
          <w:bCs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bCs/>
          <w:szCs w:val="32"/>
          <w:lang w:eastAsia="zh-CN"/>
        </w:rPr>
        <w:t>个月内预算执行率达到</w:t>
      </w:r>
      <w:r>
        <w:rPr>
          <w:rFonts w:hint="eastAsia" w:ascii="仿宋" w:hAnsi="仿宋" w:eastAsia="仿宋" w:cs="仿宋"/>
          <w:bCs/>
          <w:szCs w:val="32"/>
          <w:lang w:val="en-US" w:eastAsia="zh-CN"/>
        </w:rPr>
        <w:t>80%以上，完成100%</w:t>
      </w:r>
    </w:p>
    <w:p w14:paraId="2029C7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eastAsia" w:ascii="仿宋" w:hAnsi="仿宋" w:eastAsia="仿宋" w:cs="仿宋"/>
          <w:bCs/>
          <w:szCs w:val="32"/>
          <w:lang w:eastAsia="zh-CN"/>
        </w:rPr>
      </w:pPr>
      <w:r>
        <w:rPr>
          <w:rFonts w:hint="eastAsia" w:ascii="仿宋" w:hAnsi="仿宋" w:eastAsia="仿宋" w:cs="仿宋"/>
          <w:bCs/>
          <w:szCs w:val="32"/>
          <w:lang w:val="en-US" w:eastAsia="zh-CN"/>
        </w:rPr>
        <w:t>成本指标：项目总成本114万元，完成114万元。</w:t>
      </w:r>
    </w:p>
    <w:p w14:paraId="500119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outlineLvl w:val="0"/>
        <w:rPr>
          <w:rFonts w:hint="eastAsia" w:ascii="仿宋" w:hAnsi="仿宋" w:eastAsia="仿宋" w:cs="仿宋"/>
          <w:bCs/>
          <w:szCs w:val="32"/>
          <w:lang w:eastAsia="zh-CN"/>
        </w:rPr>
      </w:pPr>
      <w:r>
        <w:rPr>
          <w:rFonts w:hint="eastAsia" w:ascii="仿宋" w:hAnsi="仿宋" w:eastAsia="仿宋" w:cs="仿宋"/>
          <w:bCs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Cs/>
          <w:szCs w:val="32"/>
          <w:lang w:eastAsia="zh-CN"/>
        </w:rPr>
        <w:t>效益指标</w:t>
      </w:r>
    </w:p>
    <w:p w14:paraId="6D0419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eastAsia" w:ascii="仿宋" w:hAnsi="仿宋" w:eastAsia="仿宋" w:cs="仿宋"/>
          <w:bCs/>
          <w:szCs w:val="32"/>
          <w:lang w:eastAsia="zh-CN"/>
        </w:rPr>
      </w:pPr>
      <w:r>
        <w:rPr>
          <w:rFonts w:hint="eastAsia" w:ascii="仿宋" w:hAnsi="仿宋" w:eastAsia="仿宋" w:cs="仿宋"/>
          <w:bCs/>
          <w:szCs w:val="32"/>
          <w:lang w:eastAsia="zh-CN"/>
        </w:rPr>
        <w:t>经济效益指标：减少农作物因灾损失，完成：减少农作物因灾损失。</w:t>
      </w:r>
    </w:p>
    <w:p w14:paraId="50A1B1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eastAsia" w:ascii="仿宋" w:hAnsi="仿宋" w:eastAsia="仿宋" w:cs="仿宋"/>
          <w:bCs/>
          <w:szCs w:val="32"/>
          <w:lang w:eastAsia="zh-CN"/>
        </w:rPr>
      </w:pPr>
      <w:r>
        <w:rPr>
          <w:rFonts w:hint="eastAsia" w:ascii="仿宋" w:hAnsi="仿宋" w:eastAsia="仿宋" w:cs="仿宋"/>
          <w:bCs/>
          <w:szCs w:val="32"/>
          <w:lang w:eastAsia="zh-CN"/>
        </w:rPr>
        <w:t>社会效益指标：对引导行业发展的影响程度较高，完成情况：较高。</w:t>
      </w:r>
    </w:p>
    <w:p w14:paraId="262B7E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eastAsia" w:ascii="仿宋" w:hAnsi="仿宋" w:eastAsia="仿宋" w:cs="仿宋"/>
          <w:bCs/>
          <w:szCs w:val="32"/>
          <w:lang w:eastAsia="zh-CN"/>
        </w:rPr>
      </w:pPr>
      <w:r>
        <w:rPr>
          <w:rFonts w:hint="eastAsia" w:ascii="仿宋" w:hAnsi="仿宋" w:eastAsia="仿宋" w:cs="仿宋"/>
          <w:bCs/>
          <w:szCs w:val="32"/>
          <w:lang w:eastAsia="zh-CN"/>
        </w:rPr>
        <w:t>生态指标：加强农药使用管理，完成情况：影响程度较高。</w:t>
      </w:r>
    </w:p>
    <w:p w14:paraId="35EC2F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eastAsia" w:ascii="仿宋" w:hAnsi="仿宋" w:eastAsia="仿宋" w:cs="仿宋"/>
          <w:bCs/>
          <w:szCs w:val="32"/>
          <w:lang w:eastAsia="zh-CN"/>
        </w:rPr>
      </w:pPr>
      <w:r>
        <w:rPr>
          <w:rFonts w:hint="eastAsia" w:ascii="仿宋" w:hAnsi="仿宋" w:eastAsia="仿宋" w:cs="仿宋"/>
          <w:bCs/>
          <w:szCs w:val="32"/>
          <w:lang w:eastAsia="zh-CN"/>
        </w:rPr>
        <w:t>可持续影响指标：稳定粮食生产能力，完成情况：保持稳定</w:t>
      </w:r>
    </w:p>
    <w:p w14:paraId="6EDB80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textAlignment w:val="auto"/>
        <w:outlineLvl w:val="0"/>
        <w:rPr>
          <w:rFonts w:hint="eastAsia" w:cs="Times New Roman"/>
          <w:bCs/>
          <w:szCs w:val="32"/>
          <w:lang w:eastAsia="zh-CN"/>
        </w:rPr>
      </w:pPr>
      <w:r>
        <w:rPr>
          <w:rFonts w:hint="eastAsia" w:cs="Times New Roman"/>
          <w:bCs/>
          <w:szCs w:val="32"/>
          <w:lang w:val="en-US" w:eastAsia="zh-CN"/>
        </w:rPr>
        <w:t>3.</w:t>
      </w:r>
      <w:r>
        <w:rPr>
          <w:rFonts w:hint="eastAsia" w:cs="Times New Roman"/>
          <w:bCs/>
          <w:szCs w:val="32"/>
          <w:lang w:eastAsia="zh-CN"/>
        </w:rPr>
        <w:t>服务对象满意度指标。</w:t>
      </w:r>
    </w:p>
    <w:p w14:paraId="6C6DC2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00" w:firstLineChars="200"/>
        <w:textAlignment w:val="auto"/>
        <w:outlineLvl w:val="0"/>
        <w:rPr>
          <w:rFonts w:hint="default" w:ascii="Times New Roman" w:hAnsi="Times New Roman" w:eastAsia="仿宋_GB2312" w:cs="Times New Roman"/>
          <w:bCs/>
          <w:szCs w:val="32"/>
          <w:lang w:eastAsia="zh-CN"/>
        </w:rPr>
      </w:pPr>
      <w:r>
        <w:rPr>
          <w:rFonts w:hint="eastAsia" w:cs="Times New Roman"/>
          <w:bCs/>
          <w:szCs w:val="32"/>
          <w:lang w:eastAsia="zh-CN"/>
        </w:rPr>
        <w:t>指导服务对象满意度大于等于</w:t>
      </w:r>
      <w:r>
        <w:rPr>
          <w:rFonts w:hint="eastAsia" w:cs="Times New Roman"/>
          <w:bCs/>
          <w:szCs w:val="32"/>
          <w:lang w:val="en-US" w:eastAsia="zh-CN"/>
        </w:rPr>
        <w:t>85%，完成情况：95%。</w:t>
      </w:r>
    </w:p>
    <w:p w14:paraId="3655A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ascii="Times New Roman" w:hAnsi="Times New Roman" w:eastAsia="黑体" w:cs="Times New Roman"/>
          <w:bCs/>
          <w:szCs w:val="32"/>
        </w:rPr>
      </w:pPr>
      <w:r>
        <w:rPr>
          <w:rFonts w:hint="default" w:ascii="Times New Roman" w:hAnsi="Times New Roman" w:eastAsia="黑体" w:cs="Times New Roman"/>
          <w:bCs/>
          <w:szCs w:val="32"/>
        </w:rPr>
        <w:t>三、偏离绩效目标的原因和下一步改进措施</w:t>
      </w:r>
    </w:p>
    <w:p w14:paraId="1208D2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200" w:firstLineChars="400"/>
        <w:textAlignment w:val="auto"/>
        <w:rPr>
          <w:rFonts w:hint="eastAsia" w:ascii="仿宋" w:hAnsi="仿宋" w:eastAsia="仿宋" w:cs="仿宋"/>
          <w:szCs w:val="32"/>
          <w:lang w:eastAsia="zh-CN"/>
        </w:rPr>
      </w:pPr>
      <w:r>
        <w:rPr>
          <w:rFonts w:hint="eastAsia" w:ascii="仿宋" w:hAnsi="仿宋" w:eastAsia="仿宋" w:cs="仿宋"/>
          <w:szCs w:val="32"/>
          <w:lang w:eastAsia="zh-CN"/>
        </w:rPr>
        <w:t>无</w:t>
      </w:r>
    </w:p>
    <w:p w14:paraId="023961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textAlignment w:val="auto"/>
        <w:rPr>
          <w:rFonts w:hint="default" w:ascii="Times New Roman" w:hAnsi="Times New Roman" w:eastAsia="黑体" w:cs="Times New Roman"/>
          <w:bCs/>
          <w:szCs w:val="32"/>
        </w:rPr>
      </w:pPr>
      <w:r>
        <w:rPr>
          <w:rFonts w:hint="eastAsia" w:eastAsia="黑体" w:cs="Times New Roman"/>
          <w:bCs/>
          <w:szCs w:val="32"/>
          <w:lang w:val="en-US" w:eastAsia="zh-CN"/>
        </w:rPr>
        <w:t xml:space="preserve">    四、</w:t>
      </w:r>
      <w:r>
        <w:rPr>
          <w:rFonts w:hint="default" w:ascii="Times New Roman" w:hAnsi="Times New Roman" w:eastAsia="黑体" w:cs="Times New Roman"/>
          <w:bCs/>
          <w:szCs w:val="32"/>
        </w:rPr>
        <w:t>绩效自评结果拟应用和公开情况</w:t>
      </w:r>
    </w:p>
    <w:p w14:paraId="0C56EB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200" w:firstLineChars="400"/>
        <w:textAlignment w:val="auto"/>
        <w:rPr>
          <w:rFonts w:hint="eastAsia" w:ascii="仿宋" w:hAnsi="仿宋" w:eastAsia="仿宋" w:cs="仿宋"/>
          <w:bCs/>
          <w:szCs w:val="32"/>
          <w:lang w:eastAsia="zh-CN"/>
        </w:rPr>
      </w:pPr>
      <w:r>
        <w:rPr>
          <w:rFonts w:hint="eastAsia" w:ascii="仿宋" w:hAnsi="仿宋" w:eastAsia="仿宋" w:cs="仿宋"/>
          <w:bCs/>
          <w:szCs w:val="32"/>
          <w:lang w:eastAsia="zh-CN"/>
        </w:rPr>
        <w:t>无。</w:t>
      </w:r>
    </w:p>
    <w:p w14:paraId="275A95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ascii="Times New Roman" w:hAnsi="Times New Roman" w:eastAsia="黑体" w:cs="Times New Roman"/>
          <w:bCs/>
          <w:szCs w:val="32"/>
        </w:rPr>
      </w:pPr>
      <w:r>
        <w:rPr>
          <w:rFonts w:hint="default" w:ascii="Times New Roman" w:hAnsi="Times New Roman" w:eastAsia="黑体" w:cs="Times New Roman"/>
          <w:bCs/>
          <w:szCs w:val="32"/>
        </w:rPr>
        <w:t>五、其他需说明的问题</w:t>
      </w:r>
    </w:p>
    <w:p w14:paraId="40BB0A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200" w:firstLineChars="400"/>
        <w:textAlignment w:val="auto"/>
        <w:rPr>
          <w:rFonts w:hint="eastAsia"/>
        </w:rPr>
      </w:pPr>
      <w:r>
        <w:rPr>
          <w:rFonts w:hint="eastAsia"/>
          <w:lang w:eastAsia="zh-CN"/>
        </w:rPr>
        <w:t>无</w:t>
      </w:r>
      <w:r>
        <w:rPr>
          <w:rFonts w:hint="eastAsia"/>
        </w:rPr>
        <w:t>。</w:t>
      </w:r>
    </w:p>
    <w:p w14:paraId="4CDC5AD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default" w:ascii="Times New Roman" w:hAnsi="Times New Roman" w:eastAsia="黑体" w:cs="Times New Roman"/>
          <w:bCs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bCs/>
          <w:szCs w:val="32"/>
          <w:lang w:eastAsia="zh-CN"/>
        </w:rPr>
        <w:t>附件</w:t>
      </w:r>
    </w:p>
    <w:p w14:paraId="7F9FC3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200" w:firstLineChars="40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转移支付区域（项目）绩效目标自评表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5DDA80"/>
    <w:multiLevelType w:val="singleLevel"/>
    <w:tmpl w:val="915DDA8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EEEBC4E"/>
    <w:multiLevelType w:val="singleLevel"/>
    <w:tmpl w:val="BEEEBC4E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mVhYWMzMjM3ZWUzYjQyNThlY2MzOTY3YjUzMmMwMTEifQ=="/>
  </w:docVars>
  <w:rsids>
    <w:rsidRoot w:val="00D1751E"/>
    <w:rsid w:val="00017BED"/>
    <w:rsid w:val="00087831"/>
    <w:rsid w:val="001406B3"/>
    <w:rsid w:val="00141F6A"/>
    <w:rsid w:val="001C540F"/>
    <w:rsid w:val="001E026B"/>
    <w:rsid w:val="002469B3"/>
    <w:rsid w:val="002477AA"/>
    <w:rsid w:val="00271457"/>
    <w:rsid w:val="00280240"/>
    <w:rsid w:val="00306CC5"/>
    <w:rsid w:val="0031589D"/>
    <w:rsid w:val="00380FDA"/>
    <w:rsid w:val="00391A31"/>
    <w:rsid w:val="003D42B3"/>
    <w:rsid w:val="003D53B7"/>
    <w:rsid w:val="00434843"/>
    <w:rsid w:val="00445B29"/>
    <w:rsid w:val="00446799"/>
    <w:rsid w:val="00497D92"/>
    <w:rsid w:val="004B2FC0"/>
    <w:rsid w:val="004C0A07"/>
    <w:rsid w:val="00542618"/>
    <w:rsid w:val="00647C03"/>
    <w:rsid w:val="00674A18"/>
    <w:rsid w:val="006968E4"/>
    <w:rsid w:val="006D23E7"/>
    <w:rsid w:val="00760C12"/>
    <w:rsid w:val="007630BE"/>
    <w:rsid w:val="007B6B81"/>
    <w:rsid w:val="008228A4"/>
    <w:rsid w:val="008B1257"/>
    <w:rsid w:val="008B6575"/>
    <w:rsid w:val="008C6DD4"/>
    <w:rsid w:val="008F0628"/>
    <w:rsid w:val="009219E3"/>
    <w:rsid w:val="00941D97"/>
    <w:rsid w:val="00964A7C"/>
    <w:rsid w:val="00973A51"/>
    <w:rsid w:val="009F7581"/>
    <w:rsid w:val="00AC102D"/>
    <w:rsid w:val="00AD7E5A"/>
    <w:rsid w:val="00B60D61"/>
    <w:rsid w:val="00B637F8"/>
    <w:rsid w:val="00BE41BA"/>
    <w:rsid w:val="00BE4E46"/>
    <w:rsid w:val="00CC2136"/>
    <w:rsid w:val="00CE629B"/>
    <w:rsid w:val="00D1751E"/>
    <w:rsid w:val="00D33D23"/>
    <w:rsid w:val="00D374BA"/>
    <w:rsid w:val="00D4009C"/>
    <w:rsid w:val="00D703A5"/>
    <w:rsid w:val="00DD3744"/>
    <w:rsid w:val="00DE0835"/>
    <w:rsid w:val="00DF1EF9"/>
    <w:rsid w:val="00E71BD2"/>
    <w:rsid w:val="00EB4C1B"/>
    <w:rsid w:val="00EF5E5A"/>
    <w:rsid w:val="00F07578"/>
    <w:rsid w:val="00F37CE5"/>
    <w:rsid w:val="00F40B84"/>
    <w:rsid w:val="00FE2B0A"/>
    <w:rsid w:val="10392A68"/>
    <w:rsid w:val="1A34029F"/>
    <w:rsid w:val="207649A8"/>
    <w:rsid w:val="2FDE98A7"/>
    <w:rsid w:val="3399198E"/>
    <w:rsid w:val="3D313501"/>
    <w:rsid w:val="435E2D57"/>
    <w:rsid w:val="47769442"/>
    <w:rsid w:val="57D54FFF"/>
    <w:rsid w:val="5B812416"/>
    <w:rsid w:val="5ECB2AEC"/>
    <w:rsid w:val="5F7A3446"/>
    <w:rsid w:val="5FCF171A"/>
    <w:rsid w:val="679734A0"/>
    <w:rsid w:val="67C53CAC"/>
    <w:rsid w:val="6FF72519"/>
    <w:rsid w:val="741C786C"/>
    <w:rsid w:val="76AB415F"/>
    <w:rsid w:val="7B7F78B0"/>
    <w:rsid w:val="7D7F2892"/>
    <w:rsid w:val="AF6B0E12"/>
    <w:rsid w:val="BBFC2043"/>
    <w:rsid w:val="DFEFDA48"/>
    <w:rsid w:val="E9EE15BA"/>
    <w:rsid w:val="FB9EA4F1"/>
    <w:rsid w:val="FE75A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仿宋_GB2312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3</Pages>
  <Words>755</Words>
  <Characters>819</Characters>
  <Lines>2</Lines>
  <Paragraphs>1</Paragraphs>
  <TotalTime>1</TotalTime>
  <ScaleCrop>false</ScaleCrop>
  <LinksUpToDate>false</LinksUpToDate>
  <CharactersWithSpaces>823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2021-03-31T18:39:00Z</dcterms:created>
  <dc:creator>刘月</dc:creator>
  <cp:lastModifiedBy>明朗</cp:lastModifiedBy>
  <cp:lastPrinted>2024-02-29T08:17:00Z</cp:lastPrinted>
  <dcterms:modified xsi:type="dcterms:W3CDTF">2025-03-12T01:58:58Z</dcterms:modified>
  <dc:title>附件3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693607A53BA66C620BCDDF65B88ED4CF</vt:lpwstr>
  </property>
  <property fmtid="{D5CDD505-2E9C-101B-9397-08002B2CF9AE}" pid="4" name="KSOTemplateDocerSaveRecord">
    <vt:lpwstr>eyJoZGlkIjoiYThjMWQ0ZDhhZTU4YzNhM2RkMzdkMDgyMzZkYTgyYzAiLCJ1c2VySWQiOiI2MjU3MTczNDEifQ==</vt:lpwstr>
  </property>
</Properties>
</file>